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A0" w:rsidRDefault="00F258A0" w:rsidP="00F258A0">
      <w:pPr>
        <w:pStyle w:val="a3"/>
      </w:pPr>
      <w:r>
        <w:t xml:space="preserve">В июле этого года Верховный суд рассмотрел дело, которое ярко иллюстрирует, как высшая судебная инстанция исправляет очевидные ошибки судов общей юрисдикции (постановление ВС РФ от 25.07.2016 № 34-АД16-5). </w:t>
      </w:r>
      <w:proofErr w:type="gramStart"/>
      <w:r>
        <w:t xml:space="preserve">ВС РФ сделал вывод о том, что возникновение либо прекращение полномочий единоличного исполнительного органа юридического лица с фактом </w:t>
      </w:r>
      <w:hyperlink r:id="rId5" w:tgtFrame="_blank" w:history="1">
        <w:r>
          <w:rPr>
            <w:rStyle w:val="a4"/>
          </w:rPr>
          <w:t>внесения в государственный реестр юридических лиц (ЕГРЮЛ) таких сведений</w:t>
        </w:r>
      </w:hyperlink>
      <w:r>
        <w:t> не связаны, а обусловлены принятием соответствующего решения компетентным органом управления такого юридического лица или истечением срока его полномочий.</w:t>
      </w:r>
      <w:proofErr w:type="gramEnd"/>
      <w:r>
        <w:t xml:space="preserve"> Сам по себе такой вывод является достаточно очевидным. Аналогичная позиция была высказана еще в 2006 году ВАС РФ в </w:t>
      </w:r>
      <w:hyperlink r:id="rId6" w:tgtFrame="_blank" w:history="1">
        <w:r>
          <w:rPr>
            <w:rStyle w:val="a4"/>
          </w:rPr>
          <w:t>постановлении Президиума от 14.02.2006 № 12580/05</w:t>
        </w:r>
      </w:hyperlink>
      <w:r>
        <w:t> по делу № А40-59287/04-125-586 применительно к гражданско-правовым отношениям и в дальнейшем довольно единообразно применялась судами.</w:t>
      </w:r>
    </w:p>
    <w:p w:rsidR="00F258A0" w:rsidRDefault="00F258A0" w:rsidP="00F258A0">
      <w:pPr>
        <w:pStyle w:val="a3"/>
      </w:pPr>
      <w:r>
        <w:t>Однако в деле, рассмотренном ВС РФ, ситуация касается административно-правовых отношений, а именно — исполнения публичных обязанностей руководителем юридического лица, полномочия которого фактически прекращены, но эта информация не является общедоступной и не внесена в ЕГРЮЛ. В частности, председатель правления товарищества собственников жилья (ТСЖ) на основании</w:t>
      </w:r>
      <w:hyperlink r:id="rId7" w:tgtFrame="_blank" w:history="1">
        <w:r>
          <w:rPr>
            <w:rStyle w:val="a4"/>
          </w:rPr>
          <w:t xml:space="preserve"> ч. 2 ст. 15.33 КоАП РФ</w:t>
        </w:r>
      </w:hyperlink>
      <w:r>
        <w:t xml:space="preserve"> был привлечен к административной ответственности за нарушение сроков представления расчета по начисленным и уплаченным страховым взносам в органы государственных внебюджетных фондов. Однако ВС РФ отменил все судебные акты судов нижестоящих инстанций и прекратил производство по делу, поскольку на основании решения общего собрания ТСЖ в момент, когда соответствующая публично-правовая обязанность должна была быть исполнена, руководителем ТСЖ было избрано иное лицо. Высшей судебной инстанцией было установлено, что лицо, привлекавшееся к административной ответственности, не являлось субъектом вменяемого ему правонарушения, поскольку не обладало полномочиями единоличного исполнительного органа.</w:t>
      </w:r>
    </w:p>
    <w:p w:rsidR="00F258A0" w:rsidRDefault="00F258A0" w:rsidP="00F258A0">
      <w:pPr>
        <w:pStyle w:val="a3"/>
      </w:pPr>
      <w:r>
        <w:t xml:space="preserve">С одной стороны, в п. 22 </w:t>
      </w:r>
      <w:hyperlink r:id="rId8" w:tgtFrame="_blank" w:history="1">
        <w:r>
          <w:rPr>
            <w:rStyle w:val="a4"/>
          </w:rPr>
          <w:t>постановления Пленума ВС РФ от 23.06.2015 № 25</w:t>
        </w:r>
      </w:hyperlink>
      <w:r>
        <w:t xml:space="preserve"> «О применении судами некоторых положений раздела I части первой Гражданского кодекса Российской Федерации» указано на презумпцию неосведомленности лица,  полагающегося на данные ЕГРЮЛ, о недостоверности таких данных. С другой стороны, в данном деле речь идет об административной ответственности и о том, что вне зависимости от информации, содержавшейся в ЕГРЮЛ, лицо не выполняло функции единоличного исполнительного органа, соответственно, на нем не лежат публично-правовые обязанности, лежащие на руководителе юридического лица. Ошибочно было бы считать, что государственные органы также </w:t>
      </w:r>
      <w:proofErr w:type="gramStart"/>
      <w:r>
        <w:t>должны</w:t>
      </w:r>
      <w:proofErr w:type="gramEnd"/>
      <w:r>
        <w:t xml:space="preserve"> безусловно полагаться на данные ЕГРЮЛ, поскольку приведенные выше разъяснения постановления Пленума ВС РФ касаются частных, а не публичных отношений.</w:t>
      </w:r>
    </w:p>
    <w:p w:rsidR="00F258A0" w:rsidRDefault="00F258A0" w:rsidP="00F258A0">
      <w:pPr>
        <w:pStyle w:val="a3"/>
      </w:pPr>
      <w:r>
        <w:t>Как ни странно, на практике ранее можно было встретить иную позицию судов. Например, в постановлении Саратовского областного суда от 24.12.2015 № 4А-900/2015, которым оставлены в силе судебные акты о привлечении к ответственности руководителя юридического лица, указано:</w:t>
      </w:r>
    </w:p>
    <w:p w:rsidR="00F258A0" w:rsidRDefault="00F258A0" w:rsidP="00F258A0">
      <w:pPr>
        <w:pStyle w:val="a3"/>
      </w:pPr>
      <w:proofErr w:type="gramStart"/>
      <w:r>
        <w:t xml:space="preserve">«Для всех третьих лиц руководителем организации является лицо, указанное в реестре*. В противном случае, теряется смысл ведения Единого государственного реестра, сведения которого в силу </w:t>
      </w:r>
      <w:proofErr w:type="spellStart"/>
      <w:r>
        <w:t>абз</w:t>
      </w:r>
      <w:proofErr w:type="spellEnd"/>
      <w:r>
        <w:t>. 1 п. 4 ст. 5 Федерального закона от 08.08.2001 № 129-ФЗ «О государственной регистрации юридических лиц и индивидуальных предпринимателей» считаются достоверными до внесения в них соответствующих изменений.</w:t>
      </w:r>
      <w:proofErr w:type="gramEnd"/>
      <w:r>
        <w:t xml:space="preserve"> Вместе с тем, доказательств того, что регистрирующий орган был уведомлен о вышеуказанных </w:t>
      </w:r>
      <w:r>
        <w:lastRenderedPageBreak/>
        <w:t>изменениях и в Единый государственный реестр юридических лиц были внесены соответствующие изменения, не имеется».</w:t>
      </w:r>
    </w:p>
    <w:p w:rsidR="00F258A0" w:rsidRDefault="00F258A0" w:rsidP="00F258A0">
      <w:pPr>
        <w:pStyle w:val="a3"/>
      </w:pPr>
      <w:r>
        <w:t>*Имеется в виду ЕГРЮЛ.</w:t>
      </w:r>
    </w:p>
    <w:p w:rsidR="00F258A0" w:rsidRDefault="00F258A0" w:rsidP="00F258A0">
      <w:pPr>
        <w:pStyle w:val="a3"/>
      </w:pPr>
      <w:proofErr w:type="gramStart"/>
      <w:r>
        <w:t xml:space="preserve">Позицию ВС РФ, на наш взгляд, стоит поддержать, поскольку информация о прекращении полномочий единоличного исполнительного органа и наделения этими полномочиями нового лица вносится уже новым руководителем юридического лица (см. </w:t>
      </w:r>
      <w:hyperlink r:id="rId9" w:tgtFrame="_blank" w:history="1">
        <w:r>
          <w:rPr>
            <w:rStyle w:val="a4"/>
          </w:rPr>
          <w:t>п. 5 ст. 5</w:t>
        </w:r>
      </w:hyperlink>
      <w:r>
        <w:t xml:space="preserve"> Федерального закона от 08.08.2001 № 129-ФЗ «О государственной регистрации юридических лиц и индивидуальных предпринимателей», </w:t>
      </w:r>
      <w:hyperlink r:id="rId10" w:tgtFrame="_blank" w:history="1">
        <w:r>
          <w:rPr>
            <w:rStyle w:val="a4"/>
          </w:rPr>
          <w:t>решение ВАС РФ от 29.05.2006 № 2817/06</w:t>
        </w:r>
      </w:hyperlink>
      <w:r>
        <w:t>).</w:t>
      </w:r>
      <w:proofErr w:type="gramEnd"/>
      <w:r>
        <w:t xml:space="preserve"> Исходя из этого, неверно было бы полагать, что в результате невнесения юридическим лицом в лице его нового руководителя сведений в ЕГРЮЛ, ответственность за нарушение публично-правовых обязанностей лица, имеющего право действовать без доверенности от имени компании, останется на прежнем руководителе, который даже не </w:t>
      </w:r>
      <w:proofErr w:type="gramStart"/>
      <w:r>
        <w:t>может</w:t>
      </w:r>
      <w:proofErr w:type="gramEnd"/>
      <w:r>
        <w:t xml:space="preserve"> влияет на процесс изменения данных ЕГРЮЛ и не вправе его инициировать. При этом оптимизма не вызывает то, что зачастую такие очевидные вопросы, которые должны решаться на уровне судов нижестоящих инстанций, лицам, права которых нарушены, приходится отстаивать в Верховном суде.</w:t>
      </w:r>
    </w:p>
    <w:p w:rsidR="005006AC" w:rsidRPr="006C6385" w:rsidRDefault="00482434">
      <w:pPr>
        <w:rPr>
          <w:b/>
          <w:color w:val="FF0000"/>
        </w:rPr>
      </w:pPr>
      <w:r>
        <w:t xml:space="preserve">Правовая позиция Президиума ВАС поддержана большинством арбитражных судов. </w:t>
      </w:r>
      <w:proofErr w:type="gramStart"/>
      <w:r>
        <w:t>Так, в Постановлениях Девятого арбитражного апелляционного суда от 11.09.2013 N 09АП-24296/2013-АК, Десятого арбитражного апелляционного суда от 17.07.2012 N А41-3605/12 содержится вывод о том, что при прекращении полномочий руководителя вновь избранный руководитель приобретает полномочия единоличного исполнительного органа с момента его избрания вне зависимости от того, внесены ли соответствующие сведения в ЕГРЮЛ.</w:t>
      </w:r>
      <w:proofErr w:type="gramEnd"/>
      <w:r>
        <w:t xml:space="preserve"> В Постановлении Тринадцатого арбитражного апелляционного суда от 09.04.2014 N А56-1745/2013 ТСЖ удалось доказать, что дополнительное соглашение к договору </w:t>
      </w:r>
      <w:proofErr w:type="spellStart"/>
      <w:r>
        <w:t>ресурсоснабжения</w:t>
      </w:r>
      <w:proofErr w:type="spellEnd"/>
      <w:r>
        <w:t xml:space="preserve">, подписанное председателем, досрочно прекратившим свои полномочия, недействительно, несмотря на </w:t>
      </w:r>
      <w:proofErr w:type="gramStart"/>
      <w:r>
        <w:t>то</w:t>
      </w:r>
      <w:proofErr w:type="gramEnd"/>
      <w:r>
        <w:t xml:space="preserve"> что на момент подписания соглашения в ЕГРЮЛ он значился в качестве председателя. Суд отметил, что полномочия вновь избранного председателя правления ТСЖ возникают в связи с избранием его в качестве единоличного исполнительного органа именно на собрании правления. По мнению ФАС СЗО (Постановление от 21.01.2014 N А56-29969/2013), юридическим фактом, влекущим прекращение полномочий председателя правления ТСЖ, является соответствующее решение уполномоченного органа управления товарищества (п. 2 ст. 145, п. 1 ст. 149 ЖК РФ). С учетом этого документом, подтверждающим право председателя действовать от имени ТСЖ без доверенности, является протокол заседания правления об избрании председателя. Первый арбитражный апелляционный суд в Постановлении от 17.06.2012 N А51-8204/2010 также разъяснил, что полномочия председателя правления возникают с момента его избрания на эту должность и подтверждаются уставом товарищества. Дата внесения изменений о руководителе организации является датой, с которой не возникают, а лишь подтверждаются соответствующие полномочия. Девятый арбитражный апелляционный суд (Постановление от 23.06.2009 N 09АП-9624/2009-АК) согласился с тем, что полномочия прежнего руководителя прекращаются в связи с принятием решения об избрании нового руководителя и прежний руководитель уже не вправе выступать от имени юридического лица в отношениях с третьими лицами. Пятнадцатый арбитражный апелляционный суд в Постановлении от 20.08.2010 N А32-52990/2009 объяснил, что полномочия нового руководителя юридического лица, в том числе полномочия действовать от имени организации без доверенности, возникают с момента избрания его на эту должность в установленном порядке. Одновременно с этим прекращаются полномочия прежнего председателя. Арбитры добавили: при ином толковании данной нормы товарищество, </w:t>
      </w:r>
      <w:r>
        <w:lastRenderedPageBreak/>
        <w:t>сместившее прежнего руководителя, не было бы защищено от риска совершения им в тот же день действий, влекущих негативные последствия. Следует учитывать необходимость ограждения членов ТСЖ от действий смещенного председателя правления, который не имеет более обязанностей действовать в интересах товарищества</w:t>
      </w:r>
      <w:r w:rsidRPr="006C6385">
        <w:rPr>
          <w:b/>
          <w:color w:val="FF0000"/>
        </w:rPr>
        <w:t>. Лицо, обязанности которого действовать в интересах товарищества прекратились, не может сохранить и права действовать от его имени в силу взаимосвязанного, корреспондирующего характера субъективных прав и обязанностей. Запись в ЕГРЮЛ имеет значение юридического факта только в том случае, если на это имеется соответствующее указание закона. Законодательство не сопрягает момент возникновения правомочий руководителя юридического лица с моментом внесения записи в ЕГРЮЛ в части сведений о лице, имеющем право без доверенности действовать от имени юридического лица. Сведения реестра в этой части имеют значение только для целей оценки добросовестности и информированности контрагентов соответствующего субъек</w:t>
      </w:r>
      <w:bookmarkStart w:id="0" w:name="_GoBack"/>
      <w:bookmarkEnd w:id="0"/>
      <w:r w:rsidRPr="006C6385">
        <w:rPr>
          <w:b/>
          <w:color w:val="FF0000"/>
        </w:rPr>
        <w:t>та.</w:t>
      </w:r>
    </w:p>
    <w:sectPr w:rsidR="005006AC" w:rsidRPr="006C6385" w:rsidSect="00AF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8A0"/>
    <w:rsid w:val="000A47D9"/>
    <w:rsid w:val="00194852"/>
    <w:rsid w:val="003B5E8E"/>
    <w:rsid w:val="00482434"/>
    <w:rsid w:val="006C6385"/>
    <w:rsid w:val="00AF2E5C"/>
    <w:rsid w:val="00B27BEC"/>
    <w:rsid w:val="00F2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5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;base=LAW;n=181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;base=LAW;n=20200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2818/db51f01ef2a9bb0f94cf20998d080c5ef307934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gforum.ru/posts/568_putevoditel_po_novym_formam_dlja_registracii/" TargetMode="External"/><Relationship Id="rId10" Type="http://schemas.openxmlformats.org/officeDocument/2006/relationships/hyperlink" Target="http://www.consultant.ru/document/cons_doc_LAW_610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;base=LAW;n=194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Hunter2</cp:lastModifiedBy>
  <cp:revision>3</cp:revision>
  <dcterms:created xsi:type="dcterms:W3CDTF">2018-06-28T19:32:00Z</dcterms:created>
  <dcterms:modified xsi:type="dcterms:W3CDTF">2018-06-28T19:33:00Z</dcterms:modified>
</cp:coreProperties>
</file>